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37DA" w:rsidRDefault="00DB158A" w:rsidP="00FA2E24">
      <w:pPr>
        <w:pStyle w:val="1"/>
        <w:jc w:val="center"/>
      </w:pPr>
      <w:r>
        <w:t>О</w:t>
      </w:r>
      <w:r w:rsidR="00892349" w:rsidRPr="006A64A5">
        <w:t>сновные узлы сварочных автоматов</w:t>
      </w:r>
    </w:p>
    <w:p w:rsidR="00FB555B" w:rsidRPr="006A64A5" w:rsidRDefault="00FB555B" w:rsidP="00FB555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2349" w:rsidRPr="006A64A5" w:rsidRDefault="00892349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>Сварочные автоматы комплектуются из следующих основных узлов: сварочной головки, тележки, пульта управления, аппаратного шкафа, кассет со сварочной проволокой.</w:t>
      </w:r>
    </w:p>
    <w:p w:rsidR="00892349" w:rsidRPr="006A64A5" w:rsidRDefault="00892349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>Основными элементами сварочной головки являются механизм подачи проволоки, подающие ролики, токоподводящий мундштук и устройства для установочных перемещений головки.</w:t>
      </w:r>
    </w:p>
    <w:p w:rsidR="00D700B2" w:rsidRDefault="00892349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 xml:space="preserve">Механизм подачи состоит из электродвигателя и редуктора. При использовании электродвигателей переменного тока применяют регулируемые редукторы. Электродвигатели постоянного тока могут работать в сочетании с нерегулируемыми редукторами. Подающие ролики расположены на выходных </w:t>
      </w:r>
      <w:r w:rsidR="00F56A10">
        <w:rPr>
          <w:rFonts w:ascii="Times New Roman" w:hAnsi="Times New Roman" w:cs="Times New Roman"/>
          <w:sz w:val="28"/>
          <w:szCs w:val="28"/>
        </w:rPr>
        <w:t xml:space="preserve">валах редуктора. Их назначение </w:t>
      </w:r>
      <w:r w:rsidR="00F56A10" w:rsidRPr="004504A5">
        <w:rPr>
          <w:rFonts w:ascii="Times New Roman" w:hAnsi="Times New Roman" w:cs="Times New Roman"/>
          <w:sz w:val="28"/>
          <w:szCs w:val="28"/>
        </w:rPr>
        <w:t>-</w:t>
      </w:r>
      <w:r w:rsidRPr="006A64A5">
        <w:rPr>
          <w:rFonts w:ascii="Times New Roman" w:hAnsi="Times New Roman" w:cs="Times New Roman"/>
          <w:sz w:val="28"/>
          <w:szCs w:val="28"/>
        </w:rPr>
        <w:t xml:space="preserve"> стабильная подача сварочной проволоки без проскальзывания. Обычно это достигается при использовании двух пар подающих роликов. </w:t>
      </w:r>
      <w:r w:rsidR="00D700B2">
        <w:rPr>
          <w:rFonts w:ascii="Times New Roman" w:hAnsi="Times New Roman" w:cs="Times New Roman"/>
          <w:sz w:val="28"/>
          <w:szCs w:val="28"/>
        </w:rPr>
        <w:t>Рис</w:t>
      </w:r>
    </w:p>
    <w:p w:rsidR="00892349" w:rsidRPr="006668C6" w:rsidRDefault="00892349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>К корпусу редуктора крепится токоведущий мундштук для обеспечения электрического контакта и направления проволоки в сварочную ванну.</w:t>
      </w:r>
      <w:r w:rsidR="00EE2EE9" w:rsidRPr="006A64A5">
        <w:rPr>
          <w:rFonts w:ascii="Times New Roman" w:hAnsi="Times New Roman" w:cs="Times New Roman"/>
          <w:sz w:val="28"/>
          <w:szCs w:val="28"/>
        </w:rPr>
        <w:t xml:space="preserve"> Мундштук должен обеспечивать минимальное блуждание торца электрода относительно сварочной ванны. Для этого иногда на головку перед мундштуком устанавливают роликовый приви</w:t>
      </w:r>
      <w:r w:rsidR="00EE2EE9" w:rsidRPr="00605CE0">
        <w:rPr>
          <w:rFonts w:ascii="Times New Roman" w:hAnsi="Times New Roman" w:cs="Times New Roman"/>
          <w:sz w:val="28"/>
          <w:szCs w:val="28"/>
        </w:rPr>
        <w:t>’</w:t>
      </w:r>
      <w:r w:rsidR="00EE2EE9" w:rsidRPr="006A64A5">
        <w:rPr>
          <w:rFonts w:ascii="Times New Roman" w:hAnsi="Times New Roman" w:cs="Times New Roman"/>
          <w:sz w:val="28"/>
          <w:szCs w:val="28"/>
        </w:rPr>
        <w:t>льный механизм для правки проволоки. Кроме того, в мундштуке должен обеспечиваться надежный электрический контакт со сварочной проволокой. Конструкции мундштуков различны в зависимости от способа сварки, диаметра и жестокости проволоки. Для сварки электродной п</w:t>
      </w:r>
      <w:r w:rsidR="00F56A10">
        <w:rPr>
          <w:rFonts w:ascii="Times New Roman" w:hAnsi="Times New Roman" w:cs="Times New Roman"/>
          <w:sz w:val="28"/>
          <w:szCs w:val="28"/>
        </w:rPr>
        <w:t>роволокой большого диаметра (3</w:t>
      </w:r>
      <w:r w:rsidR="00F56A10" w:rsidRPr="00F56A10">
        <w:rPr>
          <w:rFonts w:ascii="Times New Roman" w:hAnsi="Times New Roman" w:cs="Times New Roman"/>
          <w:sz w:val="28"/>
          <w:szCs w:val="28"/>
        </w:rPr>
        <w:t>-</w:t>
      </w:r>
      <w:r w:rsidR="00EE2EE9" w:rsidRPr="006A64A5">
        <w:rPr>
          <w:rFonts w:ascii="Times New Roman" w:hAnsi="Times New Roman" w:cs="Times New Roman"/>
          <w:sz w:val="28"/>
          <w:szCs w:val="28"/>
        </w:rPr>
        <w:t>5 мм) наибольшее распространение получили мундштуки с роликовым скользящим контактом. При использовании проволок меньшего</w:t>
      </w:r>
      <w:r w:rsidR="00F56A10">
        <w:rPr>
          <w:rFonts w:ascii="Times New Roman" w:hAnsi="Times New Roman" w:cs="Times New Roman"/>
          <w:sz w:val="28"/>
          <w:szCs w:val="28"/>
        </w:rPr>
        <w:t xml:space="preserve"> диаметра (0,8</w:t>
      </w:r>
      <w:r w:rsidR="00F56A10" w:rsidRPr="00F56A10">
        <w:rPr>
          <w:rFonts w:ascii="Times New Roman" w:hAnsi="Times New Roman" w:cs="Times New Roman"/>
          <w:sz w:val="28"/>
          <w:szCs w:val="28"/>
        </w:rPr>
        <w:t>-</w:t>
      </w:r>
      <w:r w:rsidR="00EE2EE9" w:rsidRPr="006A64A5">
        <w:rPr>
          <w:rFonts w:ascii="Times New Roman" w:hAnsi="Times New Roman" w:cs="Times New Roman"/>
          <w:sz w:val="28"/>
          <w:szCs w:val="28"/>
        </w:rPr>
        <w:t xml:space="preserve">2,5 мм) применяют трубчатые мундштуки. Скользящий контакт поддерживается за счет сменных наконечников мундштука. Применяют также мундштуки </w:t>
      </w:r>
      <w:r w:rsidR="00EE2EE9" w:rsidRPr="006A64A5">
        <w:rPr>
          <w:rFonts w:ascii="Times New Roman" w:hAnsi="Times New Roman" w:cs="Times New Roman"/>
          <w:sz w:val="28"/>
          <w:szCs w:val="28"/>
        </w:rPr>
        <w:lastRenderedPageBreak/>
        <w:t xml:space="preserve">колодочного типа, состоящие </w:t>
      </w:r>
      <w:r w:rsidR="00D6434E">
        <w:rPr>
          <w:rFonts w:ascii="Times New Roman" w:hAnsi="Times New Roman" w:cs="Times New Roman"/>
          <w:sz w:val="28"/>
          <w:szCs w:val="28"/>
        </w:rPr>
        <w:t>из двух подпружиненных колодок,</w:t>
      </w:r>
      <w:r w:rsidR="00D6434E" w:rsidRPr="00D6434E">
        <w:rPr>
          <w:rFonts w:ascii="Times New Roman" w:hAnsi="Times New Roman" w:cs="Times New Roman"/>
          <w:sz w:val="28"/>
          <w:szCs w:val="28"/>
        </w:rPr>
        <w:t xml:space="preserve"> </w:t>
      </w:r>
      <w:r w:rsidR="00EE2EE9" w:rsidRPr="006A64A5">
        <w:rPr>
          <w:rFonts w:ascii="Times New Roman" w:hAnsi="Times New Roman" w:cs="Times New Roman"/>
          <w:sz w:val="28"/>
          <w:szCs w:val="28"/>
        </w:rPr>
        <w:t>и м</w:t>
      </w:r>
      <w:r w:rsidR="00F56A10">
        <w:rPr>
          <w:rFonts w:ascii="Times New Roman" w:hAnsi="Times New Roman" w:cs="Times New Roman"/>
          <w:sz w:val="28"/>
          <w:szCs w:val="28"/>
        </w:rPr>
        <w:t>ундштуки сапожкового типа (рис.</w:t>
      </w:r>
      <w:r w:rsidR="004F5245">
        <w:rPr>
          <w:rFonts w:ascii="Times New Roman" w:hAnsi="Times New Roman" w:cs="Times New Roman"/>
          <w:sz w:val="28"/>
          <w:szCs w:val="28"/>
        </w:rPr>
        <w:t>2</w:t>
      </w:r>
      <w:r w:rsidR="00EE2EE9" w:rsidRPr="006A64A5">
        <w:rPr>
          <w:rFonts w:ascii="Times New Roman" w:hAnsi="Times New Roman" w:cs="Times New Roman"/>
          <w:sz w:val="28"/>
          <w:szCs w:val="28"/>
        </w:rPr>
        <w:t>).</w:t>
      </w:r>
    </w:p>
    <w:p w:rsidR="00605CE0" w:rsidRPr="00D6434E" w:rsidRDefault="00605CE0" w:rsidP="00605CE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4367530" cy="3000375"/>
            <wp:effectExtent l="19050" t="0" r="0" b="0"/>
            <wp:wrapSquare wrapText="bothSides"/>
            <wp:docPr id="1" name="Рисунок 1" descr="C:\Documents and Settings\Admin\Рабочий стол\2012-11-16\Image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2012-11-16\Image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53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6A10" w:rsidRPr="00D6434E" w:rsidRDefault="00F56A10" w:rsidP="004B01E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56A10" w:rsidRPr="00D6434E" w:rsidRDefault="00F56A10" w:rsidP="004B01E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56A10" w:rsidRPr="00D6434E" w:rsidRDefault="00F56A10" w:rsidP="004B01E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56A10" w:rsidRPr="00D6434E" w:rsidRDefault="00F56A10" w:rsidP="004B01E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05CE0" w:rsidRPr="00605CE0" w:rsidRDefault="00F56A10" w:rsidP="00F56A10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Рис.</w:t>
      </w:r>
      <w:r w:rsidR="004F5245">
        <w:rPr>
          <w:rFonts w:ascii="Times New Roman" w:hAnsi="Times New Roman" w:cs="Times New Roman"/>
          <w:i/>
          <w:sz w:val="24"/>
          <w:szCs w:val="24"/>
        </w:rPr>
        <w:t>2</w:t>
      </w:r>
      <w:r w:rsidR="00605CE0" w:rsidRPr="00605CE0">
        <w:rPr>
          <w:rFonts w:ascii="Times New Roman" w:hAnsi="Times New Roman" w:cs="Times New Roman"/>
          <w:i/>
          <w:sz w:val="24"/>
          <w:szCs w:val="24"/>
        </w:rPr>
        <w:t xml:space="preserve"> Токоподводящие мундштуки для автоматов:</w:t>
      </w:r>
    </w:p>
    <w:p w:rsidR="00605CE0" w:rsidRPr="006668C6" w:rsidRDefault="00605CE0" w:rsidP="00F56A10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05CE0">
        <w:rPr>
          <w:rFonts w:ascii="Times New Roman" w:hAnsi="Times New Roman" w:cs="Times New Roman"/>
          <w:i/>
          <w:sz w:val="24"/>
          <w:szCs w:val="24"/>
        </w:rPr>
        <w:t xml:space="preserve">а </w:t>
      </w:r>
      <w:r>
        <w:rPr>
          <w:rFonts w:ascii="Times New Roman" w:hAnsi="Times New Roman" w:cs="Times New Roman"/>
          <w:i/>
          <w:sz w:val="24"/>
          <w:szCs w:val="24"/>
        </w:rPr>
        <w:t>-</w:t>
      </w:r>
      <w:r w:rsidRPr="00605CE0">
        <w:rPr>
          <w:rFonts w:ascii="Times New Roman" w:hAnsi="Times New Roman" w:cs="Times New Roman"/>
          <w:i/>
          <w:sz w:val="24"/>
          <w:szCs w:val="24"/>
        </w:rPr>
        <w:t xml:space="preserve"> роликовый, б </w:t>
      </w:r>
      <w:r>
        <w:rPr>
          <w:rFonts w:ascii="Times New Roman" w:hAnsi="Times New Roman" w:cs="Times New Roman"/>
          <w:i/>
          <w:sz w:val="24"/>
          <w:szCs w:val="24"/>
        </w:rPr>
        <w:t>-</w:t>
      </w:r>
      <w:r w:rsidRPr="00605CE0">
        <w:rPr>
          <w:rFonts w:ascii="Times New Roman" w:hAnsi="Times New Roman" w:cs="Times New Roman"/>
          <w:i/>
          <w:sz w:val="24"/>
          <w:szCs w:val="24"/>
        </w:rPr>
        <w:t xml:space="preserve"> трубчатый, в </w:t>
      </w:r>
      <w:r>
        <w:rPr>
          <w:rFonts w:ascii="Times New Roman" w:hAnsi="Times New Roman" w:cs="Times New Roman"/>
          <w:i/>
          <w:sz w:val="24"/>
          <w:szCs w:val="24"/>
        </w:rPr>
        <w:t>-</w:t>
      </w:r>
      <w:r w:rsidRPr="00605CE0">
        <w:rPr>
          <w:rFonts w:ascii="Times New Roman" w:hAnsi="Times New Roman" w:cs="Times New Roman"/>
          <w:i/>
          <w:sz w:val="24"/>
          <w:szCs w:val="24"/>
        </w:rPr>
        <w:t xml:space="preserve"> колодчатый,</w:t>
      </w:r>
      <w:r>
        <w:rPr>
          <w:rFonts w:ascii="Times New Roman" w:hAnsi="Times New Roman" w:cs="Times New Roman"/>
          <w:i/>
          <w:sz w:val="24"/>
          <w:szCs w:val="24"/>
        </w:rPr>
        <w:t xml:space="preserve"> г </w:t>
      </w:r>
      <w:r w:rsidR="006668C6">
        <w:rPr>
          <w:rFonts w:ascii="Times New Roman" w:hAnsi="Times New Roman" w:cs="Times New Roman"/>
          <w:i/>
          <w:sz w:val="24"/>
          <w:szCs w:val="24"/>
        </w:rPr>
        <w:t>–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05CE0">
        <w:rPr>
          <w:rFonts w:ascii="Times New Roman" w:hAnsi="Times New Roman" w:cs="Times New Roman"/>
          <w:i/>
          <w:sz w:val="24"/>
          <w:szCs w:val="24"/>
        </w:rPr>
        <w:t>сапожковый</w:t>
      </w:r>
    </w:p>
    <w:p w:rsidR="006668C6" w:rsidRPr="006668C6" w:rsidRDefault="006668C6" w:rsidP="00605CE0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EE2EE9" w:rsidRPr="006A64A5" w:rsidRDefault="00EE2EE9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>Конструкция подвески сварочной головки должна обеспечивать возможность ее установо</w:t>
      </w:r>
      <w:r w:rsidR="00D6434E">
        <w:rPr>
          <w:rFonts w:ascii="Times New Roman" w:hAnsi="Times New Roman" w:cs="Times New Roman"/>
          <w:sz w:val="28"/>
          <w:szCs w:val="28"/>
        </w:rPr>
        <w:t xml:space="preserve">чных перемещений: вертикальное </w:t>
      </w:r>
      <w:r w:rsidR="00D6434E" w:rsidRPr="00D6434E">
        <w:rPr>
          <w:rFonts w:ascii="Times New Roman" w:hAnsi="Times New Roman" w:cs="Times New Roman"/>
          <w:sz w:val="28"/>
          <w:szCs w:val="28"/>
        </w:rPr>
        <w:t xml:space="preserve">- </w:t>
      </w:r>
      <w:r w:rsidRPr="006A64A5">
        <w:rPr>
          <w:rFonts w:ascii="Times New Roman" w:hAnsi="Times New Roman" w:cs="Times New Roman"/>
          <w:sz w:val="28"/>
          <w:szCs w:val="28"/>
        </w:rPr>
        <w:t xml:space="preserve">для установления необходимого вылета электрода или угла наклона его относительно </w:t>
      </w:r>
      <w:r w:rsidR="00D6434E">
        <w:rPr>
          <w:rFonts w:ascii="Times New Roman" w:hAnsi="Times New Roman" w:cs="Times New Roman"/>
          <w:sz w:val="28"/>
          <w:szCs w:val="28"/>
        </w:rPr>
        <w:t xml:space="preserve">свариваемого стыка; поперечное </w:t>
      </w:r>
      <w:r w:rsidR="00D6434E" w:rsidRPr="00D6434E">
        <w:rPr>
          <w:rFonts w:ascii="Times New Roman" w:hAnsi="Times New Roman" w:cs="Times New Roman"/>
          <w:sz w:val="28"/>
          <w:szCs w:val="28"/>
        </w:rPr>
        <w:t>-</w:t>
      </w:r>
      <w:r w:rsidRPr="006A64A5">
        <w:rPr>
          <w:rFonts w:ascii="Times New Roman" w:hAnsi="Times New Roman" w:cs="Times New Roman"/>
          <w:sz w:val="28"/>
          <w:szCs w:val="28"/>
        </w:rPr>
        <w:t xml:space="preserve"> для установки торца электрода по центру стыка в начале и корректировки его в процессе сварки.</w:t>
      </w:r>
    </w:p>
    <w:p w:rsidR="000F7E8B" w:rsidRPr="006A64A5" w:rsidRDefault="000F7E8B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>Тележка предназначена для перемещения головки вдоль свариваемого стыка. В большинстве автоматов тележка выполняет  роль базового элемента. На ее корпусе устанавливают сварочную головку, кассету для проволоки и пульт управления автоматом. Тележка должна обеспечиват</w:t>
      </w:r>
      <w:r w:rsidR="00F30554">
        <w:rPr>
          <w:rFonts w:ascii="Times New Roman" w:hAnsi="Times New Roman" w:cs="Times New Roman"/>
          <w:sz w:val="28"/>
          <w:szCs w:val="28"/>
        </w:rPr>
        <w:t>ь плавность хода в широком диапа</w:t>
      </w:r>
      <w:r w:rsidRPr="006A64A5">
        <w:rPr>
          <w:rFonts w:ascii="Times New Roman" w:hAnsi="Times New Roman" w:cs="Times New Roman"/>
          <w:sz w:val="28"/>
          <w:szCs w:val="28"/>
        </w:rPr>
        <w:t>зоне скоростей сварки. Различают тележки тракторного и кареточного типов. Тележка тракторного типа перемещается с помощью бегунковых колес либо по направляющим рельсам, либо непосредственно по свариваемому изделию. Тележка кареточного типа перемещается только по направляющим  стапеля или устройства крепления самого авто</w:t>
      </w:r>
      <w:r w:rsidR="0052239E" w:rsidRPr="006A64A5">
        <w:rPr>
          <w:rFonts w:ascii="Times New Roman" w:hAnsi="Times New Roman" w:cs="Times New Roman"/>
          <w:sz w:val="28"/>
          <w:szCs w:val="28"/>
        </w:rPr>
        <w:t xml:space="preserve">мата. Конструкция направляющих элементов зависит от формы свариваемого стыка. Для сварки продольных прямолинейных швов часто применяют консольные направляющие. Автоматы консольного типа универсальны. Их можно использовать и для сварки поворотных кольцевых швов. </w:t>
      </w:r>
      <w:r w:rsidR="0052239E" w:rsidRPr="006A64A5">
        <w:rPr>
          <w:rFonts w:ascii="Times New Roman" w:hAnsi="Times New Roman" w:cs="Times New Roman"/>
          <w:sz w:val="28"/>
          <w:szCs w:val="28"/>
        </w:rPr>
        <w:lastRenderedPageBreak/>
        <w:t>Применяются также направляющие портального типа, смещенные о</w:t>
      </w:r>
      <w:r w:rsidR="00D6434E">
        <w:rPr>
          <w:rFonts w:ascii="Times New Roman" w:hAnsi="Times New Roman" w:cs="Times New Roman"/>
          <w:sz w:val="28"/>
          <w:szCs w:val="28"/>
        </w:rPr>
        <w:t>тносительно</w:t>
      </w:r>
      <w:r w:rsidR="00D6434E" w:rsidRPr="00D6434E">
        <w:rPr>
          <w:rFonts w:ascii="Times New Roman" w:hAnsi="Times New Roman" w:cs="Times New Roman"/>
          <w:sz w:val="28"/>
          <w:szCs w:val="28"/>
        </w:rPr>
        <w:t xml:space="preserve"> </w:t>
      </w:r>
      <w:r w:rsidR="006668C6">
        <w:rPr>
          <w:rFonts w:ascii="Times New Roman" w:hAnsi="Times New Roman" w:cs="Times New Roman"/>
          <w:sz w:val="28"/>
          <w:szCs w:val="28"/>
        </w:rPr>
        <w:t>изделия и установленн</w:t>
      </w:r>
      <w:r w:rsidR="0052239E" w:rsidRPr="006A64A5">
        <w:rPr>
          <w:rFonts w:ascii="Times New Roman" w:hAnsi="Times New Roman" w:cs="Times New Roman"/>
          <w:sz w:val="28"/>
          <w:szCs w:val="28"/>
        </w:rPr>
        <w:t>ые непосредственно на приспособлениях с закрепленными в них изделиями.  В автоматах для сварки неповоротных кольцевых стыков каретка перемещается по направляющим, имеющим форму окружности. Для перемещения каретки применяют механизмы с бегунковыми колесами, зубчатыми рейками, ходовыми винтами. Тележки автоматов перемещаются с помощью электродвигателей через редуктор. В автоматах с электроприводом постоянного тока скорость перемещения тележки регулируется изменением частоты вращения двигателя. В приводах переменного тока настройку скорости тележки осуществляют сменными шерстнями в редукторе.</w:t>
      </w:r>
    </w:p>
    <w:p w:rsidR="0052239E" w:rsidRPr="006A64A5" w:rsidRDefault="0052239E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>В зависимости от способов сварки сварочные автоматы могут снабжаться дополнительными устройствами. Так, при сварке под флюсом сварочные автоматы имеют специальную флюсовую аппаратуру, предназначенную для подачи флюса в зону сварки и уборки его по окончании процесса. Такие устройства выполняются в виде съемных бункеров, в которые флюс засыпается и подается самотеком в место сварки в ходе выполнения сварного шва. Иногда применяют специальные флюсоподающие и убирающие аппараты, работающие с помощью сжатого воздуха.</w:t>
      </w:r>
    </w:p>
    <w:p w:rsidR="004F5245" w:rsidRPr="003C2CF2" w:rsidRDefault="0052239E" w:rsidP="003C2C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64A5">
        <w:rPr>
          <w:rFonts w:ascii="Times New Roman" w:hAnsi="Times New Roman" w:cs="Times New Roman"/>
          <w:sz w:val="28"/>
          <w:szCs w:val="28"/>
        </w:rPr>
        <w:t>В автоматах для сварки в защитных газах вместо обычного токоподводящего мундштука используется специальная сварочная горелка, в которой помимо токоподвода имеются устройства для подачи защитного газа в зону сварки и принудительного охлаждения  горелки от перегрева.</w:t>
      </w:r>
    </w:p>
    <w:p w:rsidR="004F5245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</w:pPr>
      <w:r w:rsidRPr="00960098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Роликовые копиры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(рис.3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t>) предназначены для направления при сварке конца электродной прово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локи точно по разделке кромок или вершине угла сва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риваемого шва. Они жестко связаны с мундштуком и представляют собой кронштейн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C1C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2,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котором установлен один или несколько роликов </w:t>
      </w:r>
      <w:r w:rsidRPr="001C1C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1, 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расположенных друг за другом. При сварке ролики катятся по разделке 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кромок </w:t>
      </w:r>
      <w:r w:rsidRPr="001C1C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4 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перед электродом </w:t>
      </w:r>
      <w:r w:rsidRPr="001C1C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5 </w:t>
      </w:r>
      <w:r w:rsidRPr="001C1C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направляют его строго по оси шва. К кромкам ролики прижимаются пружинами </w:t>
      </w:r>
      <w:r w:rsidRPr="001C1C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3.</w:t>
      </w:r>
    </w:p>
    <w:p w:rsidR="004F5245" w:rsidRPr="005A7418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</w:pPr>
    </w:p>
    <w:p w:rsidR="004F5245" w:rsidRPr="00AD7F1C" w:rsidRDefault="004F5245" w:rsidP="004F524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522051" cy="3276600"/>
            <wp:effectExtent l="19050" t="0" r="2199" b="0"/>
            <wp:docPr id="3" name="Рисунок 1" descr="C:\Documents and Settings\Admin\Рабочий стол\2012-11-22\Image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2012-11-22\Image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051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45" w:rsidRPr="0070782B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70782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Рис.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3</w:t>
      </w:r>
      <w:r w:rsidRPr="0070782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Роликовые копиры:</w:t>
      </w:r>
    </w:p>
    <w:p w:rsidR="004F5245" w:rsidRPr="0070782B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70782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 – двухроликовый, б - трехроликовый</w:t>
      </w:r>
    </w:p>
    <w:p w:rsidR="004F5245" w:rsidRPr="0070782B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:rsidR="004F5245" w:rsidRPr="005D0395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0395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Указатели с корректором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(рис.4</w:t>
      </w:r>
      <w:r w:rsidRPr="005D0395">
        <w:rPr>
          <w:rFonts w:ascii="Times New Roman" w:eastAsia="Times New Roman" w:hAnsi="Times New Roman" w:cs="Times New Roman"/>
          <w:color w:val="000000"/>
          <w:sz w:val="28"/>
          <w:szCs w:val="28"/>
        </w:rPr>
        <w:t>) слу</w:t>
      </w:r>
      <w:r w:rsidRPr="005D039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жат для ручной корректировки направления движения конца электродной проволоки по оси шва. Они распола</w:t>
      </w:r>
      <w:r w:rsidRPr="005D039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гаются вдоль оси шва, в одной плоскости с электродом, и показывают  положение конца   электрода,   закрытого флюсом. Указатели крепятся на мундштуке вместо ро</w:t>
      </w:r>
      <w:r w:rsidRPr="005D039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ликового копира. Во время работы сварщик следит за положением стрелки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D0395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D0395"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указателя или пучка света и вруч</w:t>
      </w:r>
      <w:r w:rsidRPr="005D039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ную корректирует положение электрода относительно оси шва.</w:t>
      </w:r>
    </w:p>
    <w:p w:rsidR="004F5245" w:rsidRDefault="004F5245" w:rsidP="004F524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896501" cy="3219450"/>
            <wp:effectExtent l="19050" t="0" r="0" b="0"/>
            <wp:docPr id="5" name="Рисунок 2" descr="C:\Documents and Settings\Admin\Рабочий стол\2012-11-22\Image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2012-11-22\Image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06" cy="322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45" w:rsidRPr="00486E6D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86E6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Рис.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4</w:t>
      </w:r>
      <w:r w:rsidRPr="00486E6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Указатели направления движения электродной проволоки по шву:</w:t>
      </w:r>
    </w:p>
    <w:p w:rsidR="004F5245" w:rsidRPr="00486E6D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86E6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а – стрелочный, б – световой;</w:t>
      </w:r>
    </w:p>
    <w:p w:rsidR="004F5245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86E6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1 – пучок света, 2 – линза, 3 – трубка, 4 – электрическая лампочка, 5 – выключатель, 6 – диафрагма, 7 – шарнир, 8 – ссыпной патрубок автомата, 9 – электродная проволока, 10 – слой флюса, 11 – стрелка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–</w:t>
      </w:r>
      <w:r w:rsidRPr="00486E6D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указатель</w:t>
      </w:r>
    </w:p>
    <w:p w:rsidR="004F5245" w:rsidRDefault="004F5245" w:rsidP="004F524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:rsidR="004F5245" w:rsidRPr="008566E8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566E8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Подающие и прижимные ролики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служат для подачи электродной проволоки в зону сварки. Подающий и прижимной ролики изготовляют из легирован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или высоколегированной стали и подвергают термо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обработке. Для лучшего сцепления с проволокой на поверхности подающего ролика фрезеруют или накаты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вают зубья (насечка). Прижимной ролик обычно имеет гладкую рабочую поверхность.</w:t>
      </w:r>
    </w:p>
    <w:p w:rsidR="004F5245" w:rsidRPr="008566E8" w:rsidRDefault="004F5245" w:rsidP="004F524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>Мундштуки служат для направления электрода и подвода к нему сварочного тока непосредственно вблизи сварочной дуги. По своей конструкции они могут быть роликовые, колодочные и трубчатые.</w:t>
      </w:r>
    </w:p>
    <w:p w:rsidR="004F5245" w:rsidRPr="008566E8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>Роликовый мундштук (рис.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8566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а) 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выполнен в виде двух бронзовых контактных роликов </w:t>
      </w:r>
      <w:r w:rsidRPr="008566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4, 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>неподвиж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 укрепленных на токоведущих пластинах. Для лучше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го контакта ролики сжимаются пружиной </w:t>
      </w:r>
      <w:r w:rsidRPr="008566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2 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помощи натяжного болта </w:t>
      </w:r>
      <w:r w:rsidRPr="008566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3. </w:t>
      </w:r>
      <w:r w:rsidRPr="008566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мере износа контактные ролики поворачивают на некоторый угол и закрепляют в новом положении гайками </w:t>
      </w:r>
      <w:r w:rsidRPr="008566E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5.</w:t>
      </w:r>
    </w:p>
    <w:p w:rsidR="004F5245" w:rsidRDefault="004F5245" w:rsidP="004F5245">
      <w:pPr>
        <w:spacing w:after="0" w:line="240" w:lineRule="auto"/>
        <w:ind w:firstLine="70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</w:p>
    <w:p w:rsidR="004F5245" w:rsidRDefault="004F5245" w:rsidP="004F524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972050" cy="3053487"/>
            <wp:effectExtent l="19050" t="0" r="0" b="0"/>
            <wp:docPr id="6" name="Рисунок 3" descr="C:\Documents and Settings\Admin\Рабочий стол\2012-11-22\Image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2012-11-22\Image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053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45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Рис.5 Токопроводящие мундштуки:</w:t>
      </w:r>
    </w:p>
    <w:p w:rsidR="004F5245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 – роликовый, б – колодочный, в – трубчатый</w:t>
      </w:r>
    </w:p>
    <w:p w:rsidR="004F5245" w:rsidRDefault="004F5245" w:rsidP="004F524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</w:p>
    <w:p w:rsidR="004F5245" w:rsidRPr="00AC0EA9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Колодочный мундштук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(рис.5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AC0EA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б)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состоит из двух токоподводящих колодок </w:t>
      </w:r>
      <w:r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1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, сжимаемых пружи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ной </w:t>
      </w:r>
      <w:r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5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Чтобы уменьшить износ колодок, в них вставляют сменные вкладыши </w:t>
      </w:r>
      <w:r w:rsidRPr="00AC0EA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4,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позволяет использовать один мундштук для проволок различных диаметров. Мунд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штук крепят к корпусу головки </w:t>
      </w:r>
      <w:r w:rsidRPr="00AC0EA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2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болтами </w:t>
      </w:r>
      <w:r w:rsidRPr="00AC0EA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3.</w:t>
      </w:r>
    </w:p>
    <w:p w:rsidR="004F5245" w:rsidRPr="00AC0EA9" w:rsidRDefault="004F5245" w:rsidP="004F524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Трубчатый мундштук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(рис.5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AC0EA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в)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состоит из корпуса </w:t>
      </w:r>
      <w:r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1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на который при помощи накидной гайки </w:t>
      </w:r>
      <w:r w:rsidRPr="00AC0EA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2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крепят сменный бронзовый наконечник </w:t>
      </w:r>
      <w:r w:rsidRPr="00AC0EA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3.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Оси корпуса и наконечника смещены, благодаря чему проволока в мундштуке изгибается и вследствие своей упругости обе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спечив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ает хороший скользящий контакт.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Сменные нако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нечники можно также ввинчивать в корпус мундштука. В этом случае на хвостовике наконечника нарезается резьба.</w:t>
      </w:r>
    </w:p>
    <w:p w:rsidR="004F5245" w:rsidRPr="00AC0EA9" w:rsidRDefault="004F5245" w:rsidP="004F524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Трубчатые мундштуки применяют для проволок не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большого диаметра.</w:t>
      </w:r>
    </w:p>
    <w:p w:rsidR="004F5245" w:rsidRPr="00AC0EA9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Кассеты и катушки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служат для закрепления запаса электродной проволоки на корпусе автомата. В комплект оборудования обычно входят две кассеты: од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находится в работе, а другая -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перемотке. Прово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лока перематывается из бухты в кассету на специальных станках.</w:t>
      </w:r>
    </w:p>
    <w:p w:rsidR="004F5245" w:rsidRPr="00AC0EA9" w:rsidRDefault="003C2CF2" w:rsidP="004F524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Прави</w:t>
      </w:r>
      <w:r w:rsidR="004F5245"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льный механизм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служит для выпрямления элек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тродной проволоки, по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ступающей из кассеты в мундштук. Он состо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ит из 3 - 5 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роликов, ра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сположенных в шах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матном порядке. Про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волока, проходя между роликами, несколько изгибается и правится. Регулируют правиль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ный механизм нажим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ными пружинами в за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висимости от диаметра проволоки и степени ее искривления. Применя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ют правильные меха</w:t>
      </w:r>
      <w:r w:rsidR="004F5245"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низмы только для проволок больших диаметров. В некоторых конструкциях автоматов роль правильного механизма выполняет токоподводящий мундштук.</w:t>
      </w:r>
    </w:p>
    <w:p w:rsidR="004F5245" w:rsidRPr="00AC0EA9" w:rsidRDefault="004F5245" w:rsidP="004F524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Флюсовая аппаратура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предназначена для подачи флюса в зону сварки и уборки нерасплавленного флюса для повторного его использования. Одни флюсо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аппараты могут обеспечить только подачу флюса в зону сварки или только уборку флюса со шва, а другие — одновременную и подачу флюса в зону сварки и его отсос.</w:t>
      </w:r>
    </w:p>
    <w:p w:rsidR="004F5245" w:rsidRPr="00AC0EA9" w:rsidRDefault="004F5245" w:rsidP="004F524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Для подачи флюса служит флюсоподающее устройст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во, которое обычно устанавливается на сварочной голов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ке и движется вместе с автоматом вдоль шва. Конструк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тивно оно представляет собой бункер с флюсовой труб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кой, оканчивающейся шиберной заслонкой. При открыва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нии заслонки флюс под действием собственного веса ссыпается в зону дуги. В верхней части бункера имеется сито для просеивания флюса.</w:t>
      </w:r>
    </w:p>
    <w:p w:rsidR="004F5245" w:rsidRPr="00AC0EA9" w:rsidRDefault="004F5245" w:rsidP="004F524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удерживать флюс на изделии, применяют флюсоудерживающие устройства: щековые ограничите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ли, насадки, флюсовые коробки и др.</w:t>
      </w:r>
    </w:p>
    <w:p w:rsidR="004F5245" w:rsidRPr="00AC0EA9" w:rsidRDefault="004F5245" w:rsidP="004F52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механизированной уборки флюса применяют различные типы флюсоотсасывающих аппаратов,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один из которых показан на рис.6</w:t>
      </w:r>
      <w:r w:rsidRPr="00AC0EA9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F5245" w:rsidRPr="00AC0EA9" w:rsidRDefault="004F5245" w:rsidP="004F5245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C0EA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237384" cy="3667125"/>
            <wp:effectExtent l="19050" t="0" r="1116" b="0"/>
            <wp:docPr id="7" name="Рисунок 4" descr="C:\Documents and Settings\Admin\Рабочий стол\2012-11-22\Image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2012-11-22\Image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54" cy="3669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45" w:rsidRPr="00AC0EA9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AC0EA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Рис.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6</w:t>
      </w:r>
      <w:r w:rsidRPr="00AC0EA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Флюсоотсасывающий аппарат:</w:t>
      </w:r>
    </w:p>
    <w:p w:rsidR="004F5245" w:rsidRPr="00AC0EA9" w:rsidRDefault="004F5245" w:rsidP="004F52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AC0EA9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1 – всасывающая трубка, 2 – инжектор, 3 – бункер, 4 – фильтр, 5 – тележка, 6 – ведро для флюса</w:t>
      </w:r>
    </w:p>
    <w:p w:rsidR="004F5245" w:rsidRPr="006A64A5" w:rsidRDefault="004F5245" w:rsidP="006A64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4F5245" w:rsidRPr="006A64A5" w:rsidSect="004504A5">
      <w:footerReference w:type="default" r:id="rId11"/>
      <w:pgSz w:w="11906" w:h="16838"/>
      <w:pgMar w:top="1134" w:right="850" w:bottom="1134" w:left="1701" w:header="708" w:footer="708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3186B" w:rsidRDefault="0003186B" w:rsidP="004504A5">
      <w:pPr>
        <w:spacing w:after="0" w:line="240" w:lineRule="auto"/>
      </w:pPr>
      <w:r>
        <w:separator/>
      </w:r>
    </w:p>
  </w:endnote>
  <w:endnote w:type="continuationSeparator" w:id="1">
    <w:p w:rsidR="0003186B" w:rsidRDefault="0003186B" w:rsidP="004504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04860"/>
    </w:sdtPr>
    <w:sdtEndPr>
      <w:rPr>
        <w:rFonts w:ascii="Times New Roman" w:hAnsi="Times New Roman" w:cs="Times New Roman"/>
      </w:rPr>
    </w:sdtEndPr>
    <w:sdtContent>
      <w:p w:rsidR="004504A5" w:rsidRPr="004504A5" w:rsidRDefault="0039153B">
        <w:pPr>
          <w:pStyle w:val="a7"/>
          <w:jc w:val="right"/>
          <w:rPr>
            <w:rFonts w:ascii="Times New Roman" w:hAnsi="Times New Roman" w:cs="Times New Roman"/>
          </w:rPr>
        </w:pPr>
        <w:r w:rsidRPr="004504A5">
          <w:rPr>
            <w:rFonts w:ascii="Times New Roman" w:hAnsi="Times New Roman" w:cs="Times New Roman"/>
          </w:rPr>
          <w:fldChar w:fldCharType="begin"/>
        </w:r>
        <w:r w:rsidR="004504A5" w:rsidRPr="004504A5">
          <w:rPr>
            <w:rFonts w:ascii="Times New Roman" w:hAnsi="Times New Roman" w:cs="Times New Roman"/>
          </w:rPr>
          <w:instrText xml:space="preserve"> PAGE   \* MERGEFORMAT </w:instrText>
        </w:r>
        <w:r w:rsidRPr="004504A5">
          <w:rPr>
            <w:rFonts w:ascii="Times New Roman" w:hAnsi="Times New Roman" w:cs="Times New Roman"/>
          </w:rPr>
          <w:fldChar w:fldCharType="separate"/>
        </w:r>
        <w:r w:rsidR="003C2CF2">
          <w:rPr>
            <w:rFonts w:ascii="Times New Roman" w:hAnsi="Times New Roman" w:cs="Times New Roman"/>
            <w:noProof/>
          </w:rPr>
          <w:t>16</w:t>
        </w:r>
        <w:r w:rsidRPr="004504A5">
          <w:rPr>
            <w:rFonts w:ascii="Times New Roman" w:hAnsi="Times New Roman" w:cs="Times New Roman"/>
          </w:rPr>
          <w:fldChar w:fldCharType="end"/>
        </w:r>
      </w:p>
    </w:sdtContent>
  </w:sdt>
  <w:p w:rsidR="004504A5" w:rsidRDefault="004504A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3186B" w:rsidRDefault="0003186B" w:rsidP="004504A5">
      <w:pPr>
        <w:spacing w:after="0" w:line="240" w:lineRule="auto"/>
      </w:pPr>
      <w:r>
        <w:separator/>
      </w:r>
    </w:p>
  </w:footnote>
  <w:footnote w:type="continuationSeparator" w:id="1">
    <w:p w:rsidR="0003186B" w:rsidRDefault="0003186B" w:rsidP="004504A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92349"/>
    <w:rsid w:val="0003186B"/>
    <w:rsid w:val="000F7E8B"/>
    <w:rsid w:val="0039153B"/>
    <w:rsid w:val="003A7020"/>
    <w:rsid w:val="003C2CF2"/>
    <w:rsid w:val="004504A5"/>
    <w:rsid w:val="004867FD"/>
    <w:rsid w:val="004B01E5"/>
    <w:rsid w:val="004F5245"/>
    <w:rsid w:val="0052239E"/>
    <w:rsid w:val="005B13B0"/>
    <w:rsid w:val="00605CE0"/>
    <w:rsid w:val="006668C6"/>
    <w:rsid w:val="006A64A5"/>
    <w:rsid w:val="0077251B"/>
    <w:rsid w:val="00882CDF"/>
    <w:rsid w:val="00892349"/>
    <w:rsid w:val="00B507CB"/>
    <w:rsid w:val="00BA28AD"/>
    <w:rsid w:val="00CE4E79"/>
    <w:rsid w:val="00D6434E"/>
    <w:rsid w:val="00D700B2"/>
    <w:rsid w:val="00DA5EDD"/>
    <w:rsid w:val="00DB158A"/>
    <w:rsid w:val="00DC37DA"/>
    <w:rsid w:val="00E12CBB"/>
    <w:rsid w:val="00EB57E7"/>
    <w:rsid w:val="00EE2EE9"/>
    <w:rsid w:val="00F30554"/>
    <w:rsid w:val="00F56A10"/>
    <w:rsid w:val="00F57944"/>
    <w:rsid w:val="00FA2E24"/>
    <w:rsid w:val="00FB55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7DA"/>
  </w:style>
  <w:style w:type="paragraph" w:styleId="1">
    <w:name w:val="heading 1"/>
    <w:basedOn w:val="a"/>
    <w:next w:val="a"/>
    <w:link w:val="10"/>
    <w:uiPriority w:val="9"/>
    <w:qFormat/>
    <w:rsid w:val="00FA2E2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C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CE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A2E2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header"/>
    <w:basedOn w:val="a"/>
    <w:link w:val="a6"/>
    <w:uiPriority w:val="99"/>
    <w:semiHidden/>
    <w:unhideWhenUsed/>
    <w:rsid w:val="00450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504A5"/>
  </w:style>
  <w:style w:type="paragraph" w:styleId="a7">
    <w:name w:val="footer"/>
    <w:basedOn w:val="a"/>
    <w:link w:val="a8"/>
    <w:uiPriority w:val="99"/>
    <w:unhideWhenUsed/>
    <w:rsid w:val="004504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04A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8</Pages>
  <Words>1405</Words>
  <Characters>8014</Characters>
  <Application>Microsoft Office Word</Application>
  <DocSecurity>0</DocSecurity>
  <Lines>66</Lines>
  <Paragraphs>18</Paragraphs>
  <ScaleCrop>false</ScaleCrop>
  <Company/>
  <LinksUpToDate>false</LinksUpToDate>
  <CharactersWithSpaces>9401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Shevchuk</cp:lastModifiedBy>
  <cp:revision>24</cp:revision>
  <dcterms:created xsi:type="dcterms:W3CDTF">2012-11-14T15:29:00Z</dcterms:created>
  <dcterms:modified xsi:type="dcterms:W3CDTF">2012-11-26T06:12:00Z</dcterms:modified>
</cp:coreProperties>
</file>